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控制价清单</w:t>
      </w:r>
    </w:p>
    <w:tbl>
      <w:tblPr>
        <w:tblStyle w:val="30"/>
        <w:tblW w:w="97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3"/>
        <w:gridCol w:w="2311"/>
        <w:gridCol w:w="1272"/>
        <w:gridCol w:w="920"/>
        <w:gridCol w:w="2306"/>
        <w:gridCol w:w="1112"/>
        <w:gridCol w:w="1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含税基价（元）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预估含税合价（元）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水平位移基准点（岩土工程监测基准网设置（三等））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4818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水平位移基准点（岩土工程监测基准网设置（三等））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水平位移监测点（四等)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垂直位移监测点（四等)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水位监测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深层位移监测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周边地表沉降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周边建筑物倾斜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305000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周边建筑物沉降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52500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周边管线沉降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技术工作费（22%）</w:t>
            </w:r>
          </w:p>
        </w:tc>
        <w:tc>
          <w:tcPr>
            <w:tcW w:w="449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序号1~10合计金额的22%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111715 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按实物工作的22%计取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深层侧向位移监测观测井成孔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106.5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628032.34 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优惠率</w:t>
            </w:r>
          </w:p>
        </w:tc>
        <w:tc>
          <w:tcPr>
            <w:tcW w:w="56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30%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8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优惠后合计（序号14*30%）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188409.70 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0" w:hRule="atLeast"/>
        </w:trPr>
        <w:tc>
          <w:tcPr>
            <w:tcW w:w="97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1.以上工程量为暂定，结算时按实结算；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2.水位观测井、深层侧向位移监测井数量约4个，每个井高度约10m；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3.监测材料、成孔材料及埋设费已在报价中综合考虑，不另行计取；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4.以上含税单价包括为完成基坑监测发生的一切费用。</w:t>
            </w:r>
          </w:p>
        </w:tc>
      </w:tr>
    </w:tbl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福建东南设计房地产开发有限公司将乐分公司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将乐云栖央著房地产建设项目基坑监测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将乐云栖央著房地产建设项目基坑监测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拟派出项目负责人简要情况表；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其他证明文件。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资质证书复印件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jc w:val="left"/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.拟派出项目负责人简要情况表</w:t>
      </w:r>
    </w:p>
    <w:p>
      <w:pPr>
        <w:jc w:val="center"/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拟派出项目负责人简要情况表</w:t>
      </w:r>
    </w:p>
    <w:tbl>
      <w:tblPr>
        <w:tblStyle w:val="30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052"/>
        <w:gridCol w:w="1914"/>
        <w:gridCol w:w="1177"/>
        <w:gridCol w:w="418"/>
        <w:gridCol w:w="1543"/>
        <w:gridCol w:w="291"/>
        <w:gridCol w:w="2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559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职称证书编号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1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执业证书注册证号</w:t>
            </w:r>
          </w:p>
        </w:tc>
        <w:tc>
          <w:tcPr>
            <w:tcW w:w="751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3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59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216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8564" w:type="dxa"/>
            <w:gridSpan w:val="7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95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工程概况说明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8"/>
        <w:spacing w:line="360" w:lineRule="auto"/>
        <w:ind w:firstLine="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pStyle w:val="8"/>
        <w:spacing w:line="360" w:lineRule="auto"/>
        <w:ind w:firstLine="0"/>
        <w:jc w:val="center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投标人：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(盖单位公章)</w:t>
      </w:r>
    </w:p>
    <w:p>
      <w:pP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项目负责人须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为比选申请人本单位在岗员工，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注册证书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eastAsia" w:cs="宋体"/>
          <w:b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所署单位为准。</w:t>
      </w:r>
    </w:p>
    <w:p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比选申请人须提供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其注册证书、身份证的扫描件并加盖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比选申请人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单位公章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hint="eastAsia" w:ascii="宋体" w:hAnsi="宋体" w:cs="宋体"/>
          <w:b/>
          <w:sz w:val="21"/>
          <w:u w:val="double"/>
        </w:rPr>
      </w:pPr>
    </w:p>
    <w:p>
      <w:pPr>
        <w:pStyle w:val="11"/>
        <w:rPr>
          <w:rFonts w:hint="eastAsia"/>
          <w:lang w:val="en-US" w:eastAsia="zh-CN"/>
        </w:rPr>
      </w:pP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宋体"/>
          <w:b/>
          <w:i w:val="0"/>
          <w:i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i w:val="0"/>
          <w:i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1-4.其他证明文件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其他证明文件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  <w:r>
        <w:rPr>
          <w:rFonts w:hint="eastAsia" w:ascii="宋体" w:hAnsi="宋体" w:cs="宋体"/>
          <w:b/>
          <w:szCs w:val="21"/>
          <w:u w:val="double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30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将乐云栖央著房地产建设项目基坑监测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优惠率为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%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（0＜优惠率≤30%）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精确到小数点后两位</w:t>
            </w:r>
            <w:r>
              <w:rPr>
                <w:rFonts w:hint="eastAsia" w:ascii="宋体" w:hAnsi="宋体"/>
                <w:i w:val="0"/>
                <w:iCs w:val="0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从接到比选人进场通知到基坑回填完成结束。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后附分项报价表（优惠率计算结果与最终报价不一致的，以优惠率计算结果为准）</w:t>
            </w:r>
          </w:p>
        </w:tc>
      </w:tr>
    </w:tbl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分项报价表</w:t>
      </w:r>
    </w:p>
    <w:tbl>
      <w:tblPr>
        <w:tblStyle w:val="30"/>
        <w:tblW w:w="100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3"/>
        <w:gridCol w:w="2311"/>
        <w:gridCol w:w="1272"/>
        <w:gridCol w:w="920"/>
        <w:gridCol w:w="2010"/>
        <w:gridCol w:w="1665"/>
        <w:gridCol w:w="1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含税基价（元）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预估含税合价（元）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水平位移基准点（岩土工程监测基准网设置（三等））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水平位移基准点（岩土工程监测基准网设置（三等））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水平位移监测点（四等)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垂直位移监测点（四等)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水位监测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深层位移监测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周边地表沉降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周边建筑物倾斜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305000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周边建筑物沉降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52500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周边管线沉降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点*次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15点、50次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技术工作费（22%）</w:t>
            </w:r>
          </w:p>
        </w:tc>
        <w:tc>
          <w:tcPr>
            <w:tcW w:w="420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序号1~10合计金额的22%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111715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按实物工作的22%计取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水位观测井成孔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深层侧向位移监测观测井成孔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106.5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628032.34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优惠率</w:t>
            </w:r>
          </w:p>
        </w:tc>
        <w:tc>
          <w:tcPr>
            <w:tcW w:w="58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优惠后合计（序号14*优惠率）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0" w:hRule="atLeast"/>
        </w:trPr>
        <w:tc>
          <w:tcPr>
            <w:tcW w:w="100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1.以上工程量为暂定，结算时按实结算；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2.水位观测井、深层侧向位移监测井数量约4个，每个井高度约10m；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3.监测材料、成孔材料及埋设费已在报价中综合考虑，不另行计取；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4.以上含税单价包括为完成基坑监测发生的一切费用。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报价仅填写表中优惠率及优惠后合计价格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，报价精确到小数点后两位。优惠率0＜优惠率≤30%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优惠率计算结果与最终报价不一致的，以优惠率计算结果为准。</w:t>
            </w:r>
          </w:p>
        </w:tc>
      </w:tr>
    </w:tbl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57387319">
    <w:nsid w:val="68BF9A37"/>
    <w:multiLevelType w:val="singleLevel"/>
    <w:tmpl w:val="68BF9A37"/>
    <w:lvl w:ilvl="0" w:tentative="1">
      <w:start w:val="5"/>
      <w:numFmt w:val="decimal"/>
      <w:suff w:val="nothing"/>
      <w:lvlText w:val="%1."/>
      <w:lvlJc w:val="left"/>
    </w:lvl>
  </w:abstractNum>
  <w:num w:numId="1">
    <w:abstractNumId w:val="3036780560"/>
  </w:num>
  <w:num w:numId="2">
    <w:abstractNumId w:val="2022767394"/>
  </w:num>
  <w:num w:numId="3">
    <w:abstractNumId w:val="17573873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BE441F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FD54BA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E42275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BA575A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3607AC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0D3E8F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14396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F92E9C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E83DB5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3C64E1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35554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5E4943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7E6712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160E4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B07CD3"/>
    <w:rsid w:val="761E4C8C"/>
    <w:rsid w:val="76417AD8"/>
    <w:rsid w:val="768B212E"/>
    <w:rsid w:val="7690109D"/>
    <w:rsid w:val="76D4264E"/>
    <w:rsid w:val="76D8308D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94551C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basedOn w:val="6"/>
    <w:next w:val="7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6">
    <w:name w:val="Body Text"/>
    <w:basedOn w:val="1"/>
    <w:next w:val="5"/>
    <w:qFormat/>
    <w:uiPriority w:val="0"/>
    <w:pPr>
      <w:spacing w:line="380" w:lineRule="exact"/>
    </w:pPr>
    <w:rPr>
      <w:sz w:val="24"/>
    </w:rPr>
  </w:style>
  <w:style w:type="paragraph" w:styleId="7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8">
    <w:name w:val="Normal Indent"/>
    <w:basedOn w:val="1"/>
    <w:qFormat/>
    <w:uiPriority w:val="0"/>
    <w:pPr>
      <w:ind w:firstLine="420"/>
    </w:pPr>
  </w:style>
  <w:style w:type="paragraph" w:styleId="9">
    <w:name w:val="annotation text"/>
    <w:basedOn w:val="1"/>
    <w:unhideWhenUsed/>
    <w:qFormat/>
    <w:uiPriority w:val="99"/>
    <w:pPr>
      <w:jc w:val="left"/>
    </w:p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7">
    <w:name w:val="font11"/>
    <w:basedOn w:val="21"/>
    <w:qFormat/>
    <w:uiPriority w:val="0"/>
    <w:rPr>
      <w:rFonts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4082</Words>
  <Characters>4464</Characters>
  <Lines>16</Lines>
  <Paragraphs>4</Paragraphs>
  <ScaleCrop>false</ScaleCrop>
  <LinksUpToDate>false</LinksUpToDate>
  <CharactersWithSpaces>4947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2023-02-20T08:54:00Z</cp:lastPrinted>
  <dcterms:modified xsi:type="dcterms:W3CDTF">2025-09-10T02:40:10Z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F4A9BB2B472A4411B229226C3C76F50B_13</vt:lpwstr>
  </property>
  <property fmtid="{D5CDD505-2E9C-101B-9397-08002B2CF9AE}" pid="4" name="KSOTemplateDocerSaveRecord">
    <vt:lpwstr>eyJoZGlkIjoiZjEwM2JlNjhmN2RmNWE4YjFiNDBhY2FlYWVhYWJlMTUifQ==</vt:lpwstr>
  </property>
</Properties>
</file>